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4D48D" w14:textId="77777777" w:rsidR="0019299D" w:rsidRPr="0019299D" w:rsidRDefault="0019299D" w:rsidP="0019299D">
      <w:pPr>
        <w:rPr>
          <w:b/>
          <w:bCs/>
        </w:rPr>
      </w:pPr>
      <w:r w:rsidRPr="0019299D">
        <w:rPr>
          <w:b/>
          <w:bCs/>
        </w:rPr>
        <w:t>Das lektorierte Manuskript nach Anwendung des Kriterienkatalogs</w:t>
      </w:r>
    </w:p>
    <w:p w14:paraId="77CAEE59" w14:textId="77777777" w:rsidR="0019299D" w:rsidRPr="0019299D" w:rsidRDefault="0019299D" w:rsidP="0019299D">
      <w:pPr>
        <w:rPr>
          <w:b/>
          <w:bCs/>
        </w:rPr>
      </w:pPr>
      <w:r w:rsidRPr="0019299D">
        <w:rPr>
          <w:b/>
          <w:bCs/>
        </w:rPr>
        <w:t>Optimierte Version zu Abschnitt 1</w:t>
      </w:r>
    </w:p>
    <w:p w14:paraId="3F26D753" w14:textId="77777777" w:rsidR="0019299D" w:rsidRPr="0019299D" w:rsidRDefault="0019299D" w:rsidP="0019299D">
      <w:r w:rsidRPr="0019299D">
        <w:rPr>
          <w:i/>
          <w:iCs/>
        </w:rPr>
        <w:t xml:space="preserve">(Anwendung der Methoden: </w:t>
      </w:r>
      <w:r w:rsidRPr="0019299D">
        <w:rPr>
          <w:b/>
          <w:bCs/>
          <w:i/>
          <w:iCs/>
        </w:rPr>
        <w:t>Methodologische Transparenz (Limitations-Check)</w:t>
      </w:r>
      <w:r w:rsidRPr="0019299D">
        <w:rPr>
          <w:i/>
          <w:iCs/>
        </w:rPr>
        <w:t xml:space="preserve"> &amp; </w:t>
      </w:r>
      <w:r w:rsidRPr="0019299D">
        <w:rPr>
          <w:b/>
          <w:bCs/>
          <w:i/>
          <w:iCs/>
        </w:rPr>
        <w:t>Integration alternativer Paradigmen</w:t>
      </w:r>
      <w:r w:rsidRPr="0019299D">
        <w:rPr>
          <w:i/>
          <w:iCs/>
        </w:rPr>
        <w:t>)</w:t>
      </w:r>
    </w:p>
    <w:p w14:paraId="501F62E5" w14:textId="77777777" w:rsidR="0019299D" w:rsidRPr="0019299D" w:rsidRDefault="0019299D" w:rsidP="0019299D">
      <w:r w:rsidRPr="0019299D">
        <w:t xml:space="preserve">Die Transformation urbaner Mobilitätssysteme erfordert tiefgreifende ordnungspolitische Maßnahmen. Bisherige Studien im europäischen Raum deuten darauf hin, dass rein anreizbasierte Instrumente oft keine ausreichende Reduktion von Treibhausgasemissionen erzielen, da das Konsumverhalten im städtischen Raum stark elastisch reagiert (vgl. Müller 2021; Schmidt 2024). Zwar limitiert der Fokus auf quantitative Daten im </w:t>
      </w:r>
      <w:proofErr w:type="spellStart"/>
      <w:r w:rsidRPr="0019299D">
        <w:t>zeitraum</w:t>
      </w:r>
      <w:proofErr w:type="spellEnd"/>
      <w:r w:rsidRPr="0019299D">
        <w:t xml:space="preserve"> 2023–2024 die Generalisierbarkeit der vorliegenden Modellierung. Dennoch liefert die empirische Datenbasis eine valide Grundlage, um primäre ordnungspolitische </w:t>
      </w:r>
      <w:proofErr w:type="spellStart"/>
      <w:r w:rsidRPr="0019299D">
        <w:t>Governance</w:t>
      </w:r>
      <w:proofErr w:type="spellEnd"/>
      <w:r w:rsidRPr="0019299D">
        <w:t>-Szenarien präzise abzubilden.</w:t>
      </w:r>
    </w:p>
    <w:p w14:paraId="24F17F25" w14:textId="77777777" w:rsidR="0019299D" w:rsidRDefault="0019299D" w:rsidP="0019299D">
      <w:pPr>
        <w:rPr>
          <w:b/>
          <w:bCs/>
        </w:rPr>
      </w:pPr>
    </w:p>
    <w:p w14:paraId="357DCDDC" w14:textId="77777777" w:rsidR="0019299D" w:rsidRDefault="0019299D" w:rsidP="0019299D">
      <w:pPr>
        <w:rPr>
          <w:b/>
          <w:bCs/>
        </w:rPr>
      </w:pPr>
    </w:p>
    <w:p w14:paraId="5F21B991" w14:textId="5FA76FED" w:rsidR="0019299D" w:rsidRPr="0019299D" w:rsidRDefault="0019299D" w:rsidP="0019299D">
      <w:pPr>
        <w:rPr>
          <w:b/>
          <w:bCs/>
        </w:rPr>
      </w:pPr>
      <w:r w:rsidRPr="0019299D">
        <w:rPr>
          <w:b/>
          <w:bCs/>
        </w:rPr>
        <w:t>Optimierte Version zu Abschnitt 2</w:t>
      </w:r>
    </w:p>
    <w:p w14:paraId="2BD8C95E" w14:textId="77777777" w:rsidR="0019299D" w:rsidRPr="0019299D" w:rsidRDefault="0019299D" w:rsidP="0019299D">
      <w:r w:rsidRPr="0019299D">
        <w:rPr>
          <w:i/>
          <w:iCs/>
        </w:rPr>
        <w:t xml:space="preserve">(Anwendung der Methoden: </w:t>
      </w:r>
      <w:r w:rsidRPr="0019299D">
        <w:rPr>
          <w:b/>
          <w:bCs/>
          <w:i/>
          <w:iCs/>
        </w:rPr>
        <w:t>Aktiv vs. Passiv abwägen</w:t>
      </w:r>
      <w:r w:rsidRPr="0019299D">
        <w:rPr>
          <w:i/>
          <w:iCs/>
        </w:rPr>
        <w:t xml:space="preserve"> &amp; </w:t>
      </w:r>
      <w:r w:rsidRPr="0019299D">
        <w:rPr>
          <w:b/>
          <w:bCs/>
          <w:i/>
          <w:iCs/>
        </w:rPr>
        <w:t>Nominalstil vs. Verbalstil-Balance</w:t>
      </w:r>
      <w:r w:rsidRPr="0019299D">
        <w:rPr>
          <w:i/>
          <w:iCs/>
        </w:rPr>
        <w:t>)</w:t>
      </w:r>
    </w:p>
    <w:p w14:paraId="36B1DEE2" w14:textId="77777777" w:rsidR="0019299D" w:rsidRPr="0019299D" w:rsidRDefault="0019299D" w:rsidP="0019299D">
      <w:r w:rsidRPr="0019299D">
        <w:t>Die Daten wurden über eine standardisierte Online-Befragung erhoben. Die statistische Auswertung zeigt, wie sich interne Prozessabläufe der Organisation optimieren lassen. Für den langfristigen Gesamterfolg im globalen Wettbewerb sind diese Faktoren entscheidend. Die vorgeschlagenen Optimierungsmaßnahmen sollten daher zeitnah umgesetzt werden.</w:t>
      </w:r>
    </w:p>
    <w:p w14:paraId="1A61531C" w14:textId="77777777" w:rsidR="0019299D" w:rsidRDefault="0019299D" w:rsidP="0019299D">
      <w:pPr>
        <w:rPr>
          <w:b/>
          <w:bCs/>
        </w:rPr>
      </w:pPr>
    </w:p>
    <w:p w14:paraId="72A70F11" w14:textId="77777777" w:rsidR="0019299D" w:rsidRDefault="0019299D" w:rsidP="0019299D">
      <w:pPr>
        <w:rPr>
          <w:b/>
          <w:bCs/>
        </w:rPr>
      </w:pPr>
    </w:p>
    <w:p w14:paraId="60C065BB" w14:textId="22BE1E8F" w:rsidR="0019299D" w:rsidRPr="0019299D" w:rsidRDefault="0019299D" w:rsidP="0019299D">
      <w:pPr>
        <w:rPr>
          <w:b/>
          <w:bCs/>
        </w:rPr>
      </w:pPr>
      <w:r w:rsidRPr="0019299D">
        <w:rPr>
          <w:b/>
          <w:bCs/>
        </w:rPr>
        <w:t>Optimierte Version zu Abschnitt 3</w:t>
      </w:r>
    </w:p>
    <w:p w14:paraId="500BAAC6" w14:textId="77777777" w:rsidR="0019299D" w:rsidRPr="0019299D" w:rsidRDefault="0019299D" w:rsidP="0019299D">
      <w:r w:rsidRPr="0019299D">
        <w:rPr>
          <w:i/>
          <w:iCs/>
        </w:rPr>
        <w:t xml:space="preserve">(Anwendung der Methoden: </w:t>
      </w:r>
      <w:r w:rsidRPr="0019299D">
        <w:rPr>
          <w:b/>
          <w:bCs/>
          <w:i/>
          <w:iCs/>
        </w:rPr>
        <w:t>Satzlänge und Informationsdichte</w:t>
      </w:r>
      <w:r w:rsidRPr="0019299D">
        <w:rPr>
          <w:i/>
          <w:iCs/>
        </w:rPr>
        <w:t xml:space="preserve">, </w:t>
      </w:r>
      <w:r w:rsidRPr="0019299D">
        <w:rPr>
          <w:b/>
          <w:bCs/>
          <w:i/>
          <w:iCs/>
        </w:rPr>
        <w:t>Absatzarchitektur</w:t>
      </w:r>
      <w:r w:rsidRPr="0019299D">
        <w:rPr>
          <w:i/>
          <w:iCs/>
        </w:rPr>
        <w:t xml:space="preserve"> &amp; </w:t>
      </w:r>
      <w:r w:rsidRPr="0019299D">
        <w:rPr>
          <w:b/>
          <w:bCs/>
          <w:i/>
          <w:iCs/>
        </w:rPr>
        <w:t>Thematische Progression</w:t>
      </w:r>
      <w:r w:rsidRPr="0019299D">
        <w:rPr>
          <w:i/>
          <w:iCs/>
        </w:rPr>
        <w:t>)</w:t>
      </w:r>
    </w:p>
    <w:p w14:paraId="6AA340B9" w14:textId="77777777" w:rsidR="0019299D" w:rsidRPr="0019299D" w:rsidRDefault="0019299D" w:rsidP="0019299D">
      <w:r w:rsidRPr="0019299D">
        <w:t>Die Bildungsforschung ist sich einig: Soziokulturelle Faktoren bestimmen den individuellen Studienerfolg. Dennoch bilden quantitative Längsschnittstudien diese Mikrodynamik selten ab, da sie zur Gewährleistung der Vergleichbarkeit primär auf makroökonomische Indikatoren wie das Einkommen setzen. Die Tiefenstruktur familiärer habitueller Dispositionen lässt sich jedoch erst durch qualitative Sequenzanalysen erschließen. Fehlt diese Perspektive im empirischen Design, droht eine systematische Verzerrung nachfolgender bildungspolitischer Handlungsempfehlungen.</w:t>
      </w:r>
    </w:p>
    <w:p w14:paraId="13F6EE66" w14:textId="77777777" w:rsidR="0019299D" w:rsidRPr="0019299D" w:rsidRDefault="0019299D" w:rsidP="0019299D">
      <w:pPr>
        <w:rPr>
          <w:b/>
          <w:bCs/>
        </w:rPr>
      </w:pPr>
      <w:r w:rsidRPr="0019299D">
        <w:rPr>
          <w:b/>
          <w:bCs/>
        </w:rPr>
        <w:lastRenderedPageBreak/>
        <w:t>Optimierte Version zu Abschnitt 4</w:t>
      </w:r>
    </w:p>
    <w:p w14:paraId="032475D5" w14:textId="77777777" w:rsidR="0019299D" w:rsidRPr="0019299D" w:rsidRDefault="0019299D" w:rsidP="0019299D">
      <w:r w:rsidRPr="0019299D">
        <w:rPr>
          <w:i/>
          <w:iCs/>
        </w:rPr>
        <w:t xml:space="preserve">(Anwendung der Methode: </w:t>
      </w:r>
      <w:r w:rsidRPr="0019299D">
        <w:rPr>
          <w:b/>
          <w:bCs/>
          <w:i/>
          <w:iCs/>
        </w:rPr>
        <w:t>Funktionale Redundanz vs. Pleonasmus</w:t>
      </w:r>
      <w:r w:rsidRPr="0019299D">
        <w:rPr>
          <w:i/>
          <w:iCs/>
        </w:rPr>
        <w:t>)</w:t>
      </w:r>
    </w:p>
    <w:p w14:paraId="79EB8906" w14:textId="7CC23D29" w:rsidR="00B6011C" w:rsidRDefault="0019299D">
      <w:r w:rsidRPr="0019299D">
        <w:t>Diese Arbeit untersucht das urbane Konsumverhalten mithilfe einer Online-Befragung (N=250) im Großraum Berlin. Das theoretische Modell begreift den städtischen Raum dabei als dynamisches Feld, in dem Konsumentscheidungen als soziale Distinktionsmerkmale fungieren. In Übereinstimmung mit den Befunden von Mayer (2023) bestätigen die erhobenen Daten diese soziologischen Muster. Da in Ballungsräumen die meisten CO2-Emissionen generiert werden, besitzen die Ergebnisse eine hohe Relevanz für die kommunale Praxis der nachhaltigen Transformation.</w:t>
      </w:r>
    </w:p>
    <w:sectPr w:rsidR="00B601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99D"/>
    <w:rsid w:val="0019299D"/>
    <w:rsid w:val="004A4110"/>
    <w:rsid w:val="00B11D49"/>
    <w:rsid w:val="00B6011C"/>
    <w:rsid w:val="00D157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39E8"/>
  <w15:chartTrackingRefBased/>
  <w15:docId w15:val="{669FE0B9-7FD9-4337-A5CA-C4BDF8C5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92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92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9299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9299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9299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9299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9299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9299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9299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929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929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929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929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929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929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929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929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9299D"/>
    <w:rPr>
      <w:rFonts w:eastAsiaTheme="majorEastAsia" w:cstheme="majorBidi"/>
      <w:color w:val="272727" w:themeColor="text1" w:themeTint="D8"/>
    </w:rPr>
  </w:style>
  <w:style w:type="paragraph" w:styleId="Titel">
    <w:name w:val="Title"/>
    <w:basedOn w:val="Standard"/>
    <w:next w:val="Standard"/>
    <w:link w:val="TitelZchn"/>
    <w:uiPriority w:val="10"/>
    <w:qFormat/>
    <w:rsid w:val="00192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929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9299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929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9299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9299D"/>
    <w:rPr>
      <w:i/>
      <w:iCs/>
      <w:color w:val="404040" w:themeColor="text1" w:themeTint="BF"/>
    </w:rPr>
  </w:style>
  <w:style w:type="paragraph" w:styleId="Listenabsatz">
    <w:name w:val="List Paragraph"/>
    <w:basedOn w:val="Standard"/>
    <w:uiPriority w:val="34"/>
    <w:qFormat/>
    <w:rsid w:val="0019299D"/>
    <w:pPr>
      <w:ind w:left="720"/>
      <w:contextualSpacing/>
    </w:pPr>
  </w:style>
  <w:style w:type="character" w:styleId="IntensiveHervorhebung">
    <w:name w:val="Intense Emphasis"/>
    <w:basedOn w:val="Absatz-Standardschriftart"/>
    <w:uiPriority w:val="21"/>
    <w:qFormat/>
    <w:rsid w:val="0019299D"/>
    <w:rPr>
      <w:i/>
      <w:iCs/>
      <w:color w:val="0F4761" w:themeColor="accent1" w:themeShade="BF"/>
    </w:rPr>
  </w:style>
  <w:style w:type="paragraph" w:styleId="IntensivesZitat">
    <w:name w:val="Intense Quote"/>
    <w:basedOn w:val="Standard"/>
    <w:next w:val="Standard"/>
    <w:link w:val="IntensivesZitatZchn"/>
    <w:uiPriority w:val="30"/>
    <w:qFormat/>
    <w:rsid w:val="00192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9299D"/>
    <w:rPr>
      <w:i/>
      <w:iCs/>
      <w:color w:val="0F4761" w:themeColor="accent1" w:themeShade="BF"/>
    </w:rPr>
  </w:style>
  <w:style w:type="character" w:styleId="IntensiverVerweis">
    <w:name w:val="Intense Reference"/>
    <w:basedOn w:val="Absatz-Standardschriftart"/>
    <w:uiPriority w:val="32"/>
    <w:qFormat/>
    <w:rsid w:val="001929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2288</Characters>
  <Application>Microsoft Office Word</Application>
  <DocSecurity>0</DocSecurity>
  <Lines>19</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Mayer</dc:creator>
  <cp:keywords/>
  <dc:description/>
  <cp:lastModifiedBy>Eva Mayer</cp:lastModifiedBy>
  <cp:revision>1</cp:revision>
  <dcterms:created xsi:type="dcterms:W3CDTF">2026-09-24T17:38:00Z</dcterms:created>
  <dcterms:modified xsi:type="dcterms:W3CDTF">2026-09-24T17:38:00Z</dcterms:modified>
</cp:coreProperties>
</file>